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1" w:type="pct"/>
        <w:tblInd w:w="88" w:type="dxa"/>
        <w:tblLook w:val="04A0" w:firstRow="1" w:lastRow="0" w:firstColumn="1" w:lastColumn="0" w:noHBand="0" w:noVBand="1"/>
      </w:tblPr>
      <w:tblGrid>
        <w:gridCol w:w="10085"/>
        <w:gridCol w:w="708"/>
        <w:gridCol w:w="4145"/>
        <w:gridCol w:w="9"/>
      </w:tblGrid>
      <w:tr w:rsidR="00833F7E" w:rsidRPr="00CA651D" w:rsidTr="00CF005C">
        <w:trPr>
          <w:cantSplit/>
          <w:trHeight w:val="265"/>
          <w:tblHeader/>
        </w:trPr>
        <w:tc>
          <w:tcPr>
            <w:tcW w:w="149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3F7E" w:rsidRPr="00CA651D" w:rsidRDefault="00833F7E" w:rsidP="00833F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Key: </w:t>
            </w:r>
            <w:r w:rsidRPr="00CA651D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D6"/>
            </w:r>
            <w:r w:rsidRPr="00CA651D">
              <w:rPr>
                <w:rFonts w:asciiTheme="minorHAnsi" w:hAnsiTheme="minorHAnsi" w:cstheme="minorHAnsi"/>
                <w:b/>
                <w:sz w:val="22"/>
                <w:szCs w:val="22"/>
              </w:rPr>
              <w:t>=satisfactory, X=unsatisfactory, NA=Not Applicable</w:t>
            </w:r>
          </w:p>
        </w:tc>
      </w:tr>
      <w:tr w:rsidR="00354D7A" w:rsidRPr="00CA651D" w:rsidTr="00354D7A">
        <w:trPr>
          <w:cantSplit/>
          <w:trHeight w:val="651"/>
          <w:tblHeader/>
        </w:trPr>
        <w:tc>
          <w:tcPr>
            <w:tcW w:w="10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4D7A" w:rsidRPr="00CA651D" w:rsidRDefault="00354D7A" w:rsidP="00833F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Pre-Use Inspection Items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4D7A" w:rsidRPr="00CA651D" w:rsidRDefault="00354D7A" w:rsidP="00833F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54D7A" w:rsidRPr="00CA651D" w:rsidRDefault="00354D7A" w:rsidP="00833F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Comments</w:t>
            </w:r>
          </w:p>
        </w:tc>
      </w:tr>
      <w:tr w:rsidR="006A4266" w:rsidRPr="00CA651D" w:rsidTr="00CF005C">
        <w:trPr>
          <w:gridAfter w:val="1"/>
          <w:wAfter w:w="9" w:type="dxa"/>
          <w:cantSplit/>
          <w:trHeight w:val="206"/>
        </w:trPr>
        <w:tc>
          <w:tcPr>
            <w:tcW w:w="1493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6A4266" w:rsidRPr="004B58F8" w:rsidRDefault="00844DD5" w:rsidP="002647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DD5">
              <w:rPr>
                <w:rFonts w:asciiTheme="minorHAnsi" w:hAnsiTheme="minorHAnsi" w:cstheme="minorHAnsi"/>
                <w:b/>
                <w:sz w:val="22"/>
                <w:szCs w:val="22"/>
              </w:rPr>
              <w:t>General Equipment Inspection Items</w:t>
            </w: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Condition of the tool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Condition of the housing of the tool (ie: is there damage, cracks, etc)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4D7A" w:rsidRPr="00CA651D" w:rsidRDefault="00354D7A" w:rsidP="001F7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Condition of bits (ie: dull, bent, correct for use, etc)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Condition of blade (ie: dull, bent, correct for use, etc)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Guard installation (ie: guard is in use &amp; operable)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 xml:space="preserve">If fluids are required are they topped up and not leaking (ie: gas, oil, </w:t>
            </w:r>
            <w:proofErr w:type="spellStart"/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266" w:rsidRPr="00CA651D" w:rsidTr="00354D7A">
        <w:trPr>
          <w:gridAfter w:val="1"/>
          <w:wAfter w:w="9" w:type="dxa"/>
          <w:cantSplit/>
          <w:trHeight w:val="283"/>
        </w:trPr>
        <w:tc>
          <w:tcPr>
            <w:tcW w:w="1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A4266" w:rsidRPr="004B58F8" w:rsidRDefault="00844DD5" w:rsidP="00DD6B7D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DD5">
              <w:rPr>
                <w:rFonts w:asciiTheme="minorHAnsi" w:hAnsiTheme="minorHAnsi" w:cstheme="minorHAnsi"/>
                <w:b/>
                <w:sz w:val="22"/>
                <w:szCs w:val="22"/>
              </w:rPr>
              <w:t>Electrical Inspection Items</w:t>
            </w: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Grounding: </w:t>
            </w: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Ensure 3 wire cord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(properly grounded)</w:t>
            </w: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 xml:space="preserve"> or that the cord is double insulated.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5C05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Ensure electrical cord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jackets are</w:t>
            </w: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 xml:space="preserve"> free of cracking, fraying, and other signs of wear or faults in the cord insulation.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CA65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Ensure plug is operable (ie: not bent, cracks, missing, loose or faulty prongs)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Check for damaged switches and ones with faulty trigger locks.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Power control must be easily accessible from the operator’s work positioning.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51D">
              <w:rPr>
                <w:rFonts w:asciiTheme="minorHAnsi" w:hAnsiTheme="minorHAnsi" w:cstheme="minorHAnsi"/>
                <w:sz w:val="22"/>
                <w:szCs w:val="22"/>
              </w:rPr>
              <w:t>If the tool has auxiliary or double handles, check to see that they installed securely.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472E" w:rsidRPr="00CA651D" w:rsidTr="00354D7A">
        <w:trPr>
          <w:gridAfter w:val="1"/>
          <w:wAfter w:w="9" w:type="dxa"/>
          <w:cantSplit/>
          <w:trHeight w:val="283"/>
        </w:trPr>
        <w:tc>
          <w:tcPr>
            <w:tcW w:w="1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6472E" w:rsidRPr="00CA651D" w:rsidRDefault="0026472E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720D">
              <w:rPr>
                <w:rFonts w:asciiTheme="minorHAnsi" w:hAnsiTheme="minorHAnsi" w:cstheme="minorHAnsi"/>
                <w:b/>
                <w:sz w:val="22"/>
                <w:szCs w:val="22"/>
              </w:rPr>
              <w:t>Machine Guarding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 delete all tools that are not included in your inspection)</w:t>
            </w: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Table saw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Ensure blade guards, splitter and anti-kickback fingers are installed.  Drive belts &amp; pulleys are enclosed.  Push sticks &amp; feather boards provided.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Radial arm saw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– Ensure blade guard, and anti kickback fingers are in place.  Saw must return to start position when released.    Saw must have a stop to prevent blade from extending beyond front of table.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Hand circular saw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Blade guard in place.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Band saw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Ensure blade is guarded.  Only the blade at point of operation should be exposed.   Drive pulleys &amp; belts covered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5C05BB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Drill press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Drive belts &amp; pulleys enclosed.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Chuck guard securely attached.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5C05BB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Jointers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Self adjusting guard over cutter head.  Push blocks provided.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5C05BB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>Planers/</w:t>
            </w:r>
            <w:proofErr w:type="spellStart"/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>Moulders</w:t>
            </w:r>
            <w:proofErr w:type="spellEnd"/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Barriers prevent contact with point of operation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5C05BB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05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Lathes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Drive belts &amp; pulleys enclosed. Guard chuck and use spring-loaded keys.  Guards provided to protect operators from chips and cutting oils.  Lead screw guarded to prevent entanglement of hair or clothing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5C05BB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Sanders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Unused portion of belts &amp; discs enclosed.  Nip 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ints at roller/belt interface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enclosed.   Sanding belts replaced when they become worn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5C05BB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Power shears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Point of operation guarded.  Foot treadle enclosed.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5C05BB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CNC machines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Machine fully enclosed with interlocking doors.  Polycarbonate panels are in good condition.</w:t>
            </w: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Default="00354D7A" w:rsidP="00A02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Pneumatic </w:t>
            </w:r>
            <w:proofErr w:type="spellStart"/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>nailers</w:t>
            </w:r>
            <w:proofErr w:type="spellEnd"/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/staplers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Ensure hose connections have a positive locking device or rated safety chains or cable to restrain the hose from uncontrolled movement if the section becomes disconnected. </w:t>
            </w:r>
          </w:p>
          <w:p w:rsidR="00354D7A" w:rsidRPr="005C05BB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the compressed air supply for the tool does not exceed the tool’s pressure rating.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B562F8" w:rsidRDefault="00354D7A" w:rsidP="00F757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Fans </w:t>
            </w:r>
            <w:r w:rsidRPr="002F3B78">
              <w:rPr>
                <w:rFonts w:asciiTheme="minorHAnsi" w:hAnsiTheme="minorHAnsi" w:cstheme="minorHAnsi"/>
                <w:sz w:val="22"/>
                <w:szCs w:val="22"/>
              </w:rPr>
              <w:t>– When within seven feet of the floor, fan blades must be enclosed with no openings greater than 1/2-inch.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F757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F75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2F3B78" w:rsidRDefault="00354D7A" w:rsidP="00F757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Hand held grinder </w:t>
            </w:r>
            <w:r w:rsidRPr="002F3B78">
              <w:rPr>
                <w:rFonts w:asciiTheme="minorHAnsi" w:hAnsiTheme="minorHAnsi" w:cstheme="minorHAnsi"/>
                <w:sz w:val="22"/>
                <w:szCs w:val="22"/>
              </w:rPr>
              <w:t>– abrasive wheel designed for the grinding application, rated for the grinder speed (RPM), and properly mounted. Guard securely attached and properly adjusted.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F757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F75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5C05BB" w:rsidRDefault="00354D7A" w:rsidP="00F757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Compressed air for cleaning </w:t>
            </w:r>
            <w:r w:rsidRPr="002F3B78">
              <w:rPr>
                <w:rFonts w:asciiTheme="minorHAnsi" w:hAnsiTheme="minorHAnsi" w:cstheme="minorHAnsi"/>
                <w:sz w:val="22"/>
                <w:szCs w:val="22"/>
              </w:rPr>
              <w:t>– Limited to 30 psi.  Safety cleaning nozzles used.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F757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F75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Default="00354D7A" w:rsidP="00415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Bench grinders</w:t>
            </w: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 xml:space="preserve">Only the point of operation of the grinding wheel is exposed (25%) the remainder is enclosed.  Tool rest positioned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 more than 3mm from the face of the wheel or below the horizontal centre line from the wheel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Ensure tool rests are securely attached to the grinder. D</w:t>
            </w:r>
            <w:r w:rsidRPr="00415E46">
              <w:rPr>
                <w:rFonts w:asciiTheme="minorHAnsi" w:hAnsiTheme="minorHAnsi" w:cstheme="minorHAnsi"/>
                <w:sz w:val="22"/>
                <w:szCs w:val="22"/>
              </w:rPr>
              <w:t xml:space="preserve">istance between the grinding wheel and the adjustable tongue must never exceed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6mm. Adjustable eye guards in place and in good condition. Visually inspect and ring test new abrasive wheels before use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.  Speed rating of wheel matches grinder.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Bench or pedestal grinder permanently mounted. Metal filings contained and cleaned up before/after each use.</w:t>
            </w:r>
          </w:p>
          <w:p w:rsidR="00354D7A" w:rsidRPr="005C05BB" w:rsidRDefault="00354D7A" w:rsidP="00415E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Conversion –(3mm = approx. 1/8 inch)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B562F8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Mechanical power transmission equipment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– All belts and pulleys enclosed</w:t>
            </w: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Default="00354D7A" w:rsidP="00A02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Chain saws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Functional chain brake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safety chain or chain catcher.</w:t>
            </w:r>
          </w:p>
          <w:p w:rsidR="00354D7A" w:rsidRPr="00B562F8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Equipped with a mechanism that minimizes the risk of injury from kickback.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B562F8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Power Take Offs (PTO)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Ensure master guards and drive shaft guards in place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D7A" w:rsidRPr="00CA651D" w:rsidTr="00354D7A">
        <w:trPr>
          <w:gridAfter w:val="1"/>
          <w:wAfter w:w="9" w:type="dxa"/>
          <w:cantSplit/>
          <w:trHeight w:val="283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4D7A" w:rsidRPr="00B562F8" w:rsidRDefault="00354D7A" w:rsidP="00DD6B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Lawn mowers – </w:t>
            </w:r>
            <w:r w:rsidRPr="00231FC2">
              <w:rPr>
                <w:rFonts w:asciiTheme="minorHAnsi" w:hAnsiTheme="minorHAnsi" w:cstheme="minorHAnsi"/>
                <w:sz w:val="22"/>
                <w:szCs w:val="22"/>
              </w:rPr>
              <w:t xml:space="preserve">All drive belts and pulleys enclosed.  Blade is fully enclosed.  Roll over protection system on riding mowers.  Mower must be used with either a catcher system or guard covering discharge opening in place.  </w:t>
            </w:r>
            <w:proofErr w:type="spellStart"/>
            <w:r w:rsidRPr="00231FC2">
              <w:rPr>
                <w:rFonts w:asciiTheme="minorHAnsi" w:hAnsiTheme="minorHAnsi" w:cstheme="minorHAnsi"/>
                <w:sz w:val="22"/>
                <w:szCs w:val="22"/>
              </w:rPr>
              <w:t>Deadman</w:t>
            </w:r>
            <w:proofErr w:type="spellEnd"/>
            <w:r w:rsidRPr="00231FC2">
              <w:rPr>
                <w:rFonts w:asciiTheme="minorHAnsi" w:hAnsiTheme="minorHAnsi" w:cstheme="minorHAnsi"/>
                <w:sz w:val="22"/>
                <w:szCs w:val="22"/>
              </w:rPr>
              <w:t xml:space="preserve"> control that interrupts power to drive when released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7A" w:rsidRPr="00CA651D" w:rsidRDefault="00354D7A" w:rsidP="00EC5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D7A" w:rsidRPr="00CA651D" w:rsidRDefault="00354D7A" w:rsidP="00DD6B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B58F8" w:rsidRDefault="004B58F8" w:rsidP="00404E04">
      <w:pPr>
        <w:rPr>
          <w:rFonts w:asciiTheme="minorHAnsi" w:hAnsiTheme="minorHAnsi" w:cstheme="minorHAnsi"/>
        </w:rPr>
      </w:pPr>
    </w:p>
    <w:p w:rsidR="00404E04" w:rsidRDefault="00354D7A" w:rsidP="00404E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Inspected</w:t>
      </w:r>
      <w:r w:rsidR="002C3B69">
        <w:rPr>
          <w:rFonts w:asciiTheme="minorHAnsi" w:hAnsiTheme="minorHAnsi" w:cstheme="minorHAnsi"/>
        </w:rPr>
        <w:t xml:space="preserve"> by:</w:t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</w:r>
      <w:r w:rsidR="002C3B69">
        <w:rPr>
          <w:rFonts w:asciiTheme="minorHAnsi" w:hAnsiTheme="minorHAnsi" w:cstheme="minorHAnsi"/>
        </w:rPr>
        <w:tab/>
        <w:t>Reviewed by:</w:t>
      </w:r>
    </w:p>
    <w:p w:rsidR="00354D7A" w:rsidRDefault="00354D7A" w:rsidP="00404E04">
      <w:pPr>
        <w:rPr>
          <w:rFonts w:asciiTheme="minorHAnsi" w:hAnsiTheme="minorHAnsi" w:cstheme="minorHAnsi"/>
        </w:rPr>
      </w:pPr>
    </w:p>
    <w:p w:rsidR="002C3B69" w:rsidRDefault="002C3B69" w:rsidP="002C3B69">
      <w:pPr>
        <w:tabs>
          <w:tab w:val="left" w:leader="underscore" w:pos="3402"/>
          <w:tab w:val="left" w:pos="3969"/>
          <w:tab w:val="left" w:leader="underscore" w:pos="6237"/>
          <w:tab w:val="left" w:pos="7938"/>
          <w:tab w:val="left" w:leader="underscore" w:pos="11340"/>
          <w:tab w:val="left" w:pos="11907"/>
          <w:tab w:val="left" w:leader="underscore" w:pos="141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bookmarkStart w:id="0" w:name="_GoBack"/>
      <w:bookmarkEnd w:id="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C05BB" w:rsidRDefault="002C3B69" w:rsidP="004B58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 / Position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Name / Position – Supervisor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sectPr w:rsidR="005C05BB" w:rsidSect="00EC58A1">
      <w:headerReference w:type="default" r:id="rId8"/>
      <w:footerReference w:type="default" r:id="rId9"/>
      <w:pgSz w:w="15840" w:h="12240" w:orient="landscape"/>
      <w:pgMar w:top="720" w:right="540" w:bottom="720" w:left="72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7E" w:rsidRDefault="00833F7E">
      <w:r>
        <w:separator/>
      </w:r>
    </w:p>
  </w:endnote>
  <w:endnote w:type="continuationSeparator" w:id="0">
    <w:p w:rsidR="00833F7E" w:rsidRDefault="0083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7E" w:rsidRDefault="00833F7E" w:rsidP="005A531B">
    <w:pPr>
      <w:pStyle w:val="Footer"/>
      <w:jc w:val="center"/>
      <w:rPr>
        <w:noProof/>
        <w:color w:val="365F91"/>
        <w:lang w:eastAsia="en-CA"/>
      </w:rPr>
    </w:pPr>
    <w:r>
      <w:rPr>
        <w:noProof/>
        <w:lang w:val="en-CA" w:eastAsia="en-C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7858125</wp:posOffset>
          </wp:positionH>
          <wp:positionV relativeFrom="paragraph">
            <wp:posOffset>75565</wp:posOffset>
          </wp:positionV>
          <wp:extent cx="1562100" cy="485775"/>
          <wp:effectExtent l="0" t="0" r="0" b="9525"/>
          <wp:wrapNone/>
          <wp:docPr id="2" name="Picture 2" descr="1lifelogo_notag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lifelogo_notag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217C">
      <w:rPr>
        <w:rFonts w:cs="Calibri"/>
        <w:noProof/>
        <w:color w:val="365F91"/>
        <w:lang w:eastAsia="en-CA"/>
      </w:rPr>
      <w:t>©</w:t>
    </w:r>
    <w:r>
      <w:rPr>
        <w:noProof/>
        <w:color w:val="365F91"/>
        <w:lang w:eastAsia="en-CA"/>
      </w:rPr>
      <w:t xml:space="preserve"> mySafetyAssistant.ca  </w:t>
    </w:r>
    <w:r w:rsidRPr="00F1551B">
      <w:rPr>
        <w:noProof/>
        <w:color w:val="365F91"/>
        <w:sz w:val="28"/>
        <w:lang w:eastAsia="en-CA"/>
      </w:rPr>
      <w:t>1-866-233-7374</w:t>
    </w:r>
  </w:p>
  <w:p w:rsidR="00833F7E" w:rsidRPr="00FF6288" w:rsidRDefault="00833F7E" w:rsidP="004B58F8">
    <w:pPr>
      <w:pStyle w:val="Footer"/>
      <w:jc w:val="center"/>
      <w:rPr>
        <w:rFonts w:ascii="Arial" w:hAnsi="Arial" w:cs="Arial"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42545</wp:posOffset>
          </wp:positionV>
          <wp:extent cx="2266950" cy="226695"/>
          <wp:effectExtent l="0" t="0" r="0" b="1905"/>
          <wp:wrapNone/>
          <wp:docPr id="3" name="Picture 1" descr="M:\Logos\MSA  Logos\word_logo_plain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s\MSA  Logos\word_logo_plain-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217C">
      <w:rPr>
        <w:i/>
        <w:noProof/>
        <w:color w:val="365F91"/>
        <w:sz w:val="20"/>
        <w:lang w:eastAsia="en-CA"/>
      </w:rPr>
      <w:t>Date of Last Revision</w:t>
    </w:r>
    <w:r>
      <w:rPr>
        <w:i/>
        <w:noProof/>
        <w:color w:val="365F91"/>
        <w:sz w:val="20"/>
        <w:lang w:eastAsia="en-CA"/>
      </w:rPr>
      <w:t xml:space="preserve"> </w:t>
    </w:r>
    <w:r w:rsidR="00143DFC">
      <w:rPr>
        <w:i/>
        <w:noProof/>
        <w:color w:val="365F91"/>
        <w:sz w:val="20"/>
        <w:lang w:eastAsia="en-CA"/>
      </w:rPr>
      <w:fldChar w:fldCharType="begin"/>
    </w:r>
    <w:r>
      <w:rPr>
        <w:i/>
        <w:noProof/>
        <w:color w:val="365F91"/>
        <w:sz w:val="20"/>
        <w:lang w:eastAsia="en-CA"/>
      </w:rPr>
      <w:instrText xml:space="preserve"> DATE \@ "M/d/yyyy" </w:instrText>
    </w:r>
    <w:r w:rsidR="00143DFC">
      <w:rPr>
        <w:i/>
        <w:noProof/>
        <w:color w:val="365F91"/>
        <w:sz w:val="20"/>
        <w:lang w:eastAsia="en-CA"/>
      </w:rPr>
      <w:fldChar w:fldCharType="separate"/>
    </w:r>
    <w:r w:rsidR="00354D7A">
      <w:rPr>
        <w:i/>
        <w:noProof/>
        <w:color w:val="365F91"/>
        <w:sz w:val="20"/>
        <w:lang w:eastAsia="en-CA"/>
      </w:rPr>
      <w:t>1/30/2013</w:t>
    </w:r>
    <w:r w:rsidR="00143DFC">
      <w:rPr>
        <w:i/>
        <w:noProof/>
        <w:color w:val="365F91"/>
        <w:sz w:val="20"/>
        <w:lang w:eastAsia="en-CA"/>
      </w:rPr>
      <w:fldChar w:fldCharType="end"/>
    </w:r>
    <w:r>
      <w:rPr>
        <w:i/>
        <w:noProof/>
        <w:color w:val="365F91"/>
        <w:sz w:val="20"/>
        <w:lang w:eastAsia="en-CA"/>
      </w:rPr>
      <w:t xml:space="preserve"> e</w:t>
    </w:r>
    <w:r w:rsidR="00CA7723">
      <w:rPr>
        <w:i/>
        <w:noProof/>
        <w:color w:val="365F91"/>
        <w:sz w:val="20"/>
        <w:lang w:eastAsia="en-CA"/>
      </w:rPr>
      <w:t>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7E" w:rsidRDefault="00833F7E">
      <w:r>
        <w:separator/>
      </w:r>
    </w:p>
  </w:footnote>
  <w:footnote w:type="continuationSeparator" w:id="0">
    <w:p w:rsidR="00833F7E" w:rsidRDefault="00833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7E" w:rsidRDefault="00833F7E" w:rsidP="00404E04">
    <w:pPr>
      <w:pStyle w:val="Header"/>
      <w:jc w:val="center"/>
      <w:rPr>
        <w:rFonts w:asciiTheme="minorHAnsi" w:hAnsiTheme="minorHAnsi" w:cstheme="minorHAnsi"/>
        <w:b/>
        <w:sz w:val="48"/>
        <w:szCs w:val="48"/>
        <w:lang w:val="en-CA"/>
      </w:rPr>
    </w:pPr>
    <w:r>
      <w:rPr>
        <w:rFonts w:asciiTheme="minorHAnsi" w:hAnsiTheme="minorHAnsi" w:cstheme="minorHAnsi"/>
        <w:b/>
        <w:sz w:val="48"/>
        <w:szCs w:val="48"/>
        <w:lang w:val="en-CA"/>
      </w:rPr>
      <w:t>Power Tool Inspection Checklist</w:t>
    </w:r>
    <w:r w:rsidR="006B026E">
      <w:rPr>
        <w:rFonts w:asciiTheme="minorHAnsi" w:hAnsiTheme="minorHAnsi" w:cstheme="minorHAnsi"/>
        <w:b/>
        <w:sz w:val="48"/>
        <w:szCs w:val="48"/>
        <w:lang w:val="en-CA"/>
      </w:rPr>
      <w:tab/>
    </w:r>
    <w:r w:rsidR="006B026E">
      <w:rPr>
        <w:rFonts w:asciiTheme="minorHAnsi" w:hAnsiTheme="minorHAnsi" w:cstheme="minorHAnsi"/>
        <w:b/>
        <w:sz w:val="48"/>
        <w:szCs w:val="48"/>
        <w:lang w:val="en-CA"/>
      </w:rPr>
      <w:tab/>
    </w:r>
    <w:r w:rsidR="006B026E">
      <w:rPr>
        <w:rFonts w:asciiTheme="minorHAnsi" w:hAnsiTheme="minorHAnsi" w:cstheme="minorHAnsi"/>
        <w:b/>
        <w:sz w:val="48"/>
        <w:szCs w:val="48"/>
        <w:lang w:val="en-CA"/>
      </w:rPr>
      <w:tab/>
    </w:r>
    <w:r w:rsidR="006B026E">
      <w:rPr>
        <w:rFonts w:asciiTheme="minorHAnsi" w:hAnsiTheme="minorHAnsi" w:cstheme="minorHAnsi"/>
        <w:b/>
        <w:sz w:val="48"/>
        <w:szCs w:val="48"/>
        <w:lang w:val="en-CA"/>
      </w:rPr>
      <w:tab/>
    </w:r>
    <w:r w:rsidR="006B026E">
      <w:rPr>
        <w:rFonts w:asciiTheme="minorHAnsi" w:hAnsiTheme="minorHAnsi" w:cstheme="minorHAnsi"/>
        <w:b/>
        <w:sz w:val="48"/>
        <w:szCs w:val="48"/>
        <w:lang w:val="en-CA"/>
      </w:rPr>
      <w:tab/>
    </w:r>
    <w:r w:rsidR="006B026E">
      <w:rPr>
        <w:rFonts w:asciiTheme="minorHAnsi" w:hAnsiTheme="minorHAnsi" w:cstheme="minorHAnsi"/>
        <w:b/>
        <w:sz w:val="48"/>
        <w:szCs w:val="48"/>
        <w:lang w:val="en-CA"/>
      </w:rPr>
      <w:tab/>
      <w:t>M14</w:t>
    </w:r>
  </w:p>
  <w:p w:rsidR="00833F7E" w:rsidRPr="004B58F8" w:rsidRDefault="00833F7E" w:rsidP="004B58F8">
    <w:pPr>
      <w:pStyle w:val="Header"/>
      <w:rPr>
        <w:rFonts w:asciiTheme="minorHAnsi" w:hAnsiTheme="minorHAnsi" w:cstheme="minorHAnsi"/>
        <w:b/>
        <w:sz w:val="2"/>
        <w:szCs w:val="2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690"/>
    <w:multiLevelType w:val="multilevel"/>
    <w:tmpl w:val="2BCA2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BA7"/>
    <w:rsid w:val="0006453B"/>
    <w:rsid w:val="00143DFC"/>
    <w:rsid w:val="00151417"/>
    <w:rsid w:val="00160982"/>
    <w:rsid w:val="001A2123"/>
    <w:rsid w:val="001F737F"/>
    <w:rsid w:val="00233BA7"/>
    <w:rsid w:val="0026472E"/>
    <w:rsid w:val="002C3B69"/>
    <w:rsid w:val="002D670B"/>
    <w:rsid w:val="002F3B78"/>
    <w:rsid w:val="00332130"/>
    <w:rsid w:val="00354D7A"/>
    <w:rsid w:val="00381E24"/>
    <w:rsid w:val="003936E5"/>
    <w:rsid w:val="00404E04"/>
    <w:rsid w:val="00415E46"/>
    <w:rsid w:val="004B58F8"/>
    <w:rsid w:val="004F5575"/>
    <w:rsid w:val="00560EE1"/>
    <w:rsid w:val="005A06B2"/>
    <w:rsid w:val="005A531B"/>
    <w:rsid w:val="005C05BB"/>
    <w:rsid w:val="005D5BC2"/>
    <w:rsid w:val="005E2C2E"/>
    <w:rsid w:val="00614A68"/>
    <w:rsid w:val="00633F55"/>
    <w:rsid w:val="00634E3E"/>
    <w:rsid w:val="006A4266"/>
    <w:rsid w:val="006B026E"/>
    <w:rsid w:val="006E5CBB"/>
    <w:rsid w:val="006F43D4"/>
    <w:rsid w:val="007703F2"/>
    <w:rsid w:val="008262DD"/>
    <w:rsid w:val="00833F7E"/>
    <w:rsid w:val="0084096C"/>
    <w:rsid w:val="00844DD5"/>
    <w:rsid w:val="00854B7D"/>
    <w:rsid w:val="008769F8"/>
    <w:rsid w:val="00884D67"/>
    <w:rsid w:val="00901693"/>
    <w:rsid w:val="0091368F"/>
    <w:rsid w:val="00921691"/>
    <w:rsid w:val="009419FD"/>
    <w:rsid w:val="009A0B51"/>
    <w:rsid w:val="009E69A6"/>
    <w:rsid w:val="00A026B5"/>
    <w:rsid w:val="00B562F8"/>
    <w:rsid w:val="00B6000E"/>
    <w:rsid w:val="00C358D8"/>
    <w:rsid w:val="00C4502C"/>
    <w:rsid w:val="00C47A01"/>
    <w:rsid w:val="00C51692"/>
    <w:rsid w:val="00C66E50"/>
    <w:rsid w:val="00CA651D"/>
    <w:rsid w:val="00CA7723"/>
    <w:rsid w:val="00CF005C"/>
    <w:rsid w:val="00D91AED"/>
    <w:rsid w:val="00DD6B7D"/>
    <w:rsid w:val="00DD7F6B"/>
    <w:rsid w:val="00E92AD4"/>
    <w:rsid w:val="00EC58A1"/>
    <w:rsid w:val="00F5556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BA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FF62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FF62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2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31B"/>
    <w:rPr>
      <w:sz w:val="24"/>
      <w:szCs w:val="24"/>
    </w:rPr>
  </w:style>
  <w:style w:type="paragraph" w:styleId="BalloonText">
    <w:name w:val="Balloon Text"/>
    <w:basedOn w:val="Normal"/>
    <w:link w:val="BalloonTextChar"/>
    <w:rsid w:val="00C45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02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BA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FF62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FF62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2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31B"/>
    <w:rPr>
      <w:sz w:val="24"/>
      <w:szCs w:val="24"/>
    </w:rPr>
  </w:style>
  <w:style w:type="paragraph" w:styleId="BalloonText">
    <w:name w:val="Balloon Text"/>
    <w:basedOn w:val="Normal"/>
    <w:link w:val="BalloonTextChar"/>
    <w:rsid w:val="00C45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02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674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Black</dc:creator>
  <cp:lastModifiedBy>Ellen Kotula</cp:lastModifiedBy>
  <cp:revision>18</cp:revision>
  <cp:lastPrinted>2013-01-30T16:53:00Z</cp:lastPrinted>
  <dcterms:created xsi:type="dcterms:W3CDTF">2012-04-05T16:39:00Z</dcterms:created>
  <dcterms:modified xsi:type="dcterms:W3CDTF">2013-01-30T17:06:00Z</dcterms:modified>
</cp:coreProperties>
</file>